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before="100" w:beforeAutospacing="1" w:after="100" w:afterAutospacing="1"/>
        <w:tabs>
          <w:tab w:val="left" w:pos="567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450" cy="438150"/>
                <wp:effectExtent l="0" t="0" r="0" b="0"/>
                <wp:docPr id="1" name="Рисунок 3" descr="Логотип  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4916003" name="Рисунок 1" descr="Логотип  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rot="0" flipH="0" flipV="0">
                          <a:off x="0" y="0"/>
                          <a:ext cx="2838449" cy="438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50pt;height:34.50pt;mso-wrap-distance-left:0.00pt;mso-wrap-distance-top:0.00pt;mso-wrap-distance-right:0.00pt;mso-wrap-distance-bottom:0.00pt;rotation:0;" stroked="f">
                <v:path textboxrect="0,0,0,0"/>
                <v:imagedata r:id="rId10" o:title=""/>
              </v:shape>
            </w:pict>
          </mc:Fallback>
        </mc:AlternateContent>
      </w:r>
      <w:r/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tabs>
          <w:tab w:val="left" w:pos="567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ТЕХНИЧЕСКОЕ ЗАДАНИЕ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tabs>
          <w:tab w:val="left" w:pos="567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</w:rPr>
        <w:t xml:space="preserve">ервисный контракт для серверного оборудования</w:t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jc w:val="center"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901"/>
        <w:numPr>
          <w:ilvl w:val="0"/>
          <w:numId w:val="24"/>
        </w:numPr>
        <w:ind w:left="0" w:firstLine="0"/>
        <w:jc w:val="both"/>
        <w:spacing w:after="240" w:line="240" w:lineRule="auto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КРАТКОЕ ОПИСАНИЕ ЗАКУПАЕМЫХ ТОВАРОВ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numPr>
          <w:ilvl w:val="1"/>
          <w:numId w:val="24"/>
        </w:numPr>
        <w:ind w:left="0" w:firstLine="0"/>
        <w:jc w:val="both"/>
        <w:spacing w:after="0" w:line="240" w:lineRule="auto"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Наименование и объем закупаемых товаров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contextualSpacing w:val="0"/>
        <w:ind w:left="0" w:firstLine="567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Сервисный контракт на серверное оборудование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(далее –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товар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)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 в соответствии со Спецификацией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(Приложение №1 к Техническому заданию) (далее по тексту – Спецификация).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numPr>
          <w:ilvl w:val="1"/>
          <w:numId w:val="24"/>
        </w:numPr>
        <w:ind w:left="0" w:firstLine="0"/>
        <w:jc w:val="both"/>
        <w:spacing w:after="0" w:line="240" w:lineRule="auto"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Сроки поставки товаров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contextualSpacing w:val="0"/>
        <w:ind w:left="0" w:firstLine="567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Начало поставки товара – с момента заключения договора.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01"/>
        <w:contextualSpacing w:val="0"/>
        <w:ind w:left="0" w:firstLine="567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Срок окончания поставки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 04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.2026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г.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contextualSpacing w:val="0"/>
        <w:ind w:left="0" w:firstLine="567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Поставщик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должен обеспечить поставку закупаемого товара, указанного в Спецификации, в полном объеме. Поставка частями не допускается.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numPr>
          <w:ilvl w:val="1"/>
          <w:numId w:val="24"/>
        </w:numPr>
        <w:ind w:left="0" w:firstLine="0"/>
        <w:jc w:val="both"/>
        <w:spacing w:after="0" w:line="240" w:lineRule="auto"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Возможность поставки эквивалент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ного товара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67"/>
        <w:jc w:val="both"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 w:eastAsiaTheme="minorEastAsia"/>
        </w:rPr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Поставка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эквивалентов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 не допускается в целях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исключения несовместимости товаров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и необходимости обеспечения взаимодействия с тов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арами, используемыми Покупателем</w:t>
      </w:r>
      <w:r>
        <w:rPr>
          <w:rFonts w:ascii="Liberation Serif" w:hAnsi="Liberation Serif" w:eastAsia="Liberation Serif" w:cs="Liberation Serif" w:eastAsiaTheme="minorEastAsia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 w:val="0"/>
        <w:ind w:left="0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numPr>
          <w:ilvl w:val="0"/>
          <w:numId w:val="24"/>
        </w:numPr>
        <w:ind w:left="0" w:firstLine="0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ОБЩИЕ ТРЕБОВАНИЯ К ТОВАРУ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numPr>
          <w:ilvl w:val="1"/>
          <w:numId w:val="23"/>
        </w:numPr>
        <w:contextualSpacing w:val="0"/>
        <w:ind w:left="0" w:firstLine="0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Место применения, использования товара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67"/>
        <w:jc w:val="both"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 w:eastAsiaTheme="minorEastAsia"/>
        </w:rPr>
      </w:r>
      <w:r>
        <w:rPr>
          <w:rFonts w:ascii="Liberation Serif" w:hAnsi="Liberation Serif" w:eastAsia="Liberation Serif" w:cs="Liberation Serif" w:eastAsiaTheme="minorEastAsia"/>
        </w:rPr>
        <w:t xml:space="preserve">Приобретение сервисного контракта необходимо для обеспечения </w:t>
      </w:r>
      <w:r>
        <w:rPr>
          <w:rFonts w:ascii="Liberation Serif" w:hAnsi="Liberation Serif" w:eastAsia="Liberation Serif" w:cs="Liberation Serif" w:eastAsiaTheme="minorEastAsia"/>
        </w:rPr>
        <w:t xml:space="preserve">действующего сетевого и серверного оборудования промышленного контура сервисными контрактами производителя </w:t>
      </w:r>
      <w:r>
        <w:rPr>
          <w:rFonts w:ascii="Liberation Serif" w:hAnsi="Liberation Serif" w:eastAsia="Liberation Serif" w:cs="Liberation Serif" w:eastAsiaTheme="minorEastAsia"/>
        </w:rPr>
        <w:t xml:space="preserve"> </w:t>
      </w:r>
      <w:r>
        <w:rPr>
          <w:rFonts w:ascii="Liberation Serif" w:hAnsi="Liberation Serif" w:eastAsia="Liberation Serif" w:cs="Liberation Serif" w:eastAsiaTheme="minorEastAsia"/>
        </w:rPr>
        <w:t xml:space="preserve">в </w:t>
      </w:r>
      <w:r>
        <w:rPr>
          <w:rFonts w:ascii="Liberation Serif" w:hAnsi="Liberation Serif" w:eastAsia="Liberation Serif" w:cs="Liberation Serif" w:eastAsiaTheme="minorEastAsia"/>
        </w:rPr>
        <w:t xml:space="preserve">АО «Томскэнергосбыт».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numPr>
          <w:ilvl w:val="1"/>
          <w:numId w:val="23"/>
        </w:numPr>
        <w:contextualSpacing w:val="0"/>
        <w:ind w:left="0" w:firstLine="0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к товару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Срок действия сервисных контрактов – 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36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 (тридцать шесть) месяцев.</w:t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01"/>
        <w:numPr>
          <w:ilvl w:val="1"/>
          <w:numId w:val="23"/>
        </w:numPr>
        <w:contextualSpacing w:val="0"/>
        <w:ind w:left="0" w:firstLine="0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 Требования о соответствии товаров обязательным требованиям законодательства о техническом регулировании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contextualSpacing w:val="0"/>
        <w:ind w:left="0" w:firstLine="567"/>
        <w:jc w:val="both"/>
        <w:spacing w:after="0" w:line="240" w:lineRule="auto"/>
        <w:widowControl w:val="off"/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Не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требуется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numPr>
          <w:ilvl w:val="1"/>
          <w:numId w:val="23"/>
        </w:numPr>
        <w:contextualSpacing w:val="0"/>
        <w:ind w:left="0" w:firstLine="0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 Требования о добровольной сертификации товаров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contextualSpacing w:val="0"/>
        <w:ind w:left="0" w:firstLine="567"/>
        <w:jc w:val="both"/>
        <w:spacing w:after="0" w:line="240" w:lineRule="auto"/>
        <w:widowControl w:val="off"/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Не требуется.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numPr>
          <w:ilvl w:val="1"/>
          <w:numId w:val="23"/>
        </w:numPr>
        <w:contextualSpacing w:val="0"/>
        <w:ind w:left="0" w:firstLine="0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 Требования к гарантийному сроку и (или) объёму предоставления гарантий качества на поставляемый товар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contextualSpacing w:val="0"/>
        <w:ind w:left="0" w:firstLine="567"/>
        <w:jc w:val="both"/>
        <w:spacing w:after="0" w:line="240" w:lineRule="auto"/>
        <w:widowControl w:val="off"/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Не требуется.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numPr>
          <w:ilvl w:val="1"/>
          <w:numId w:val="23"/>
        </w:numPr>
        <w:contextualSpacing w:val="0"/>
        <w:ind w:left="0" w:firstLine="0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 Требования по осуществлению сопутствующих работ при поставке товаров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contextualSpacing w:val="0"/>
        <w:ind w:left="0" w:firstLine="567"/>
        <w:jc w:val="both"/>
        <w:spacing w:after="0" w:line="240" w:lineRule="auto"/>
        <w:widowControl w:val="off"/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Не требуется.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numPr>
          <w:ilvl w:val="0"/>
          <w:numId w:val="24"/>
        </w:numPr>
        <w:ind w:left="0" w:firstLine="0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К ВЫПОЛНЕНИЮ ПОСТАВКИ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numPr>
          <w:ilvl w:val="1"/>
          <w:numId w:val="21"/>
        </w:numPr>
        <w:contextualSpacing w:val="0"/>
        <w:ind w:left="0" w:firstLine="0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к отгрузке и доставке приобретаемых товаров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Приобретаемый сервисный контракт должен быть выслан в электронном виде на адрес электронной почты Заказчика, указанный в проекте договора, являющемся приложением к закупочной документации.</w:t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01"/>
        <w:numPr>
          <w:ilvl w:val="1"/>
          <w:numId w:val="21"/>
        </w:numPr>
        <w:contextualSpacing w:val="0"/>
        <w:ind w:left="0" w:firstLine="0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 Требования к таре и упаковке приобретаемых товаров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contextualSpacing w:val="0"/>
        <w:ind w:left="0" w:firstLine="567"/>
        <w:jc w:val="both"/>
        <w:spacing w:after="0" w:line="240" w:lineRule="auto"/>
        <w:widowControl w:val="off"/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Не требуется.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numPr>
          <w:ilvl w:val="1"/>
          <w:numId w:val="21"/>
        </w:numPr>
        <w:contextualSpacing w:val="0"/>
        <w:ind w:left="0" w:firstLine="0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 Требования к приемке товаров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firstLine="708"/>
        <w:jc w:val="both"/>
        <w:spacing w:after="0" w:afterAutospacing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Приемка Товара осуществляется на основании </w:t>
      </w:r>
      <w:r>
        <w:rPr>
          <w:rFonts w:ascii="Liberation Serif" w:hAnsi="Liberation Serif" w:eastAsia="Liberation Serif" w:cs="Liberation Serif"/>
        </w:rPr>
        <w:t xml:space="preserve">унифицированной формы документа (далее – УПД).</w:t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01"/>
        <w:numPr>
          <w:ilvl w:val="1"/>
          <w:numId w:val="21"/>
        </w:numPr>
        <w:contextualSpacing w:val="0"/>
        <w:ind w:left="0" w:firstLine="0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 Требования к передаваемой заказчику документации по оценке соответствия требованиям безопасности и качественным показателям товаров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67"/>
        <w:jc w:val="both"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 w:eastAsiaTheme="minorEastAsia"/>
        </w:rPr>
        <w:t xml:space="preserve">Не </w:t>
      </w:r>
      <w:r>
        <w:rPr>
          <w:rFonts w:ascii="Liberation Serif" w:hAnsi="Liberation Serif" w:eastAsia="Liberation Serif" w:cs="Liberation Serif" w:eastAsiaTheme="minorEastAsia"/>
        </w:rPr>
        <w:t xml:space="preserve">требуется</w:t>
      </w:r>
      <w:r>
        <w:rPr>
          <w:rFonts w:ascii="Liberation Serif" w:hAnsi="Liberation Serif" w:eastAsia="Liberation Serif" w:cs="Liberation Serif" w:eastAsiaTheme="minorEastAsia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numPr>
          <w:ilvl w:val="1"/>
          <w:numId w:val="21"/>
        </w:numPr>
        <w:contextualSpacing w:val="0"/>
        <w:ind w:left="0" w:firstLine="0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Прочие требования к поставке товаров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contextualSpacing w:val="0"/>
        <w:ind w:left="0" w:firstLine="567"/>
        <w:jc w:val="both"/>
        <w:spacing w:after="0" w:line="240" w:lineRule="auto"/>
        <w:tabs>
          <w:tab w:val="left" w:pos="567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Участник закупки должен подтвердить, что поставляемые товары будут соответствовать требованиям, установленным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contextualSpacing w:val="0"/>
        <w:ind w:left="0"/>
        <w:jc w:val="both"/>
        <w:spacing w:after="0" w:line="240" w:lineRule="auto"/>
        <w:tabs>
          <w:tab w:val="left" w:pos="567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numPr>
          <w:ilvl w:val="0"/>
          <w:numId w:val="24"/>
        </w:numPr>
        <w:ind w:left="0" w:firstLine="0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ПОРЯДОК ФОРМИРОВАНИЯ КОММЕРЧЕСКОГО ПРЕДЛОЖЕНИЯ УЧАСТНИКА ЗАКУПКИ, ОБОСНОВАНИЯ ЦЕНЫ, РАСЧЕТОВ, ПРЕДОСТАВЛЕНИЯ БАНКОВСКИХ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/НЕЗАВИСИМЫХ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 ГАРАНТИЙ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contextualSpacing w:val="0"/>
        <w:ind w:left="0" w:firstLine="567"/>
        <w:jc w:val="both"/>
        <w:spacing w:after="0" w:line="240" w:lineRule="auto"/>
        <w:tabs>
          <w:tab w:val="left" w:pos="567" w:leader="none"/>
        </w:tabs>
        <w:rPr>
          <w:rStyle w:val="904"/>
          <w:rFonts w:ascii="Liberation Serif" w:hAnsi="Liberation Serif" w:cs="Liberation Serif"/>
          <w:sz w:val="24"/>
          <w:szCs w:val="24"/>
        </w:rPr>
      </w:pPr>
      <w:r>
        <w:rPr>
          <w:rStyle w:val="904"/>
          <w:rFonts w:ascii="Liberation Serif" w:hAnsi="Liberation Serif" w:eastAsia="Liberation Serif" w:cs="Liberation Serif"/>
          <w:sz w:val="24"/>
          <w:szCs w:val="24"/>
        </w:rPr>
        <w:t xml:space="preserve">Участник </w:t>
      </w:r>
      <w:r>
        <w:rPr>
          <w:rStyle w:val="904"/>
          <w:rFonts w:ascii="Liberation Serif" w:hAnsi="Liberation Serif" w:eastAsia="Liberation Serif" w:cs="Liberation Serif"/>
          <w:sz w:val="24"/>
          <w:szCs w:val="24"/>
        </w:rPr>
        <w:t xml:space="preserve">формирует свое коммерческое предложение</w:t>
      </w:r>
      <w:r>
        <w:rPr>
          <w:rStyle w:val="904"/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Style w:val="904"/>
          <w:rFonts w:ascii="Liberation Serif" w:hAnsi="Liberation Serif" w:eastAsia="Liberation Serif" w:cs="Liberation Serif"/>
          <w:sz w:val="24"/>
          <w:szCs w:val="24"/>
        </w:rPr>
        <w:t xml:space="preserve">в соответствии со Спецификацией (Приложение №1 к ТЗ) и в соответствии с инструкциями, указанными в закупочной документации</w:t>
      </w:r>
      <w:r>
        <w:rPr>
          <w:rStyle w:val="904"/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Style w:val="904"/>
          <w:rFonts w:ascii="Liberation Serif" w:hAnsi="Liberation Serif" w:cs="Liberation Serif"/>
          <w:sz w:val="24"/>
          <w:szCs w:val="24"/>
        </w:rPr>
      </w:r>
      <w:r>
        <w:rPr>
          <w:rStyle w:val="904"/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Расчеты осуществляются в следующем порядке: </w:t>
      </w:r>
      <w:r>
        <w:rPr>
          <w:rFonts w:ascii="Liberation Serif" w:hAnsi="Liberation Serif" w:eastAsia="Liberation Serif" w:cs="Liberation Serif"/>
        </w:rPr>
        <w:t xml:space="preserve">100 (сто процентов) Суммы Договора, указанной в п.2.1 Договора, оплачивается сроком не более 7 (семи) рабочих дней с даты приемки Товара Покупателем и подписания УПД</w:t>
      </w:r>
      <w:r>
        <w:rPr>
          <w:rFonts w:ascii="Liberation Serif" w:hAnsi="Liberation Serif" w:eastAsia="Liberation Serif" w:cs="Liberation Serif"/>
        </w:rPr>
        <w:t xml:space="preserve">.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 w:val="0"/>
        <w:ind w:left="0" w:firstLine="567"/>
        <w:jc w:val="both"/>
        <w:spacing w:after="0" w:line="240" w:lineRule="auto"/>
        <w:tabs>
          <w:tab w:val="left" w:pos="567" w:leader="none"/>
        </w:tabs>
        <w:rPr>
          <w:rStyle w:val="904"/>
          <w:rFonts w:ascii="Liberation Serif" w:hAnsi="Liberation Serif" w:cs="Liberation Serif"/>
          <w:sz w:val="24"/>
          <w:szCs w:val="24"/>
        </w:rPr>
      </w:pPr>
      <w:r>
        <w:rPr>
          <w:rStyle w:val="904"/>
          <w:rFonts w:ascii="Liberation Serif" w:hAnsi="Liberation Serif" w:eastAsia="Liberation Serif" w:cs="Liberation Serif"/>
          <w:sz w:val="24"/>
          <w:szCs w:val="24"/>
        </w:rPr>
        <w:t xml:space="preserve">Полная информация по требованиям п. 4 </w:t>
      </w:r>
      <w:r>
        <w:rPr>
          <w:rStyle w:val="904"/>
          <w:rFonts w:ascii="Liberation Serif" w:hAnsi="Liberation Serif" w:eastAsia="Liberation Serif" w:cs="Liberation Serif"/>
          <w:sz w:val="24"/>
          <w:szCs w:val="24"/>
        </w:rPr>
        <w:t xml:space="preserve">Технического задания указана в проекте д</w:t>
      </w:r>
      <w:r>
        <w:rPr>
          <w:rStyle w:val="904"/>
          <w:rFonts w:ascii="Liberation Serif" w:hAnsi="Liberation Serif" w:eastAsia="Liberation Serif" w:cs="Liberation Serif"/>
          <w:sz w:val="24"/>
          <w:szCs w:val="24"/>
        </w:rPr>
        <w:t xml:space="preserve">оговора, являющемся приложением к закупочной документации.</w:t>
      </w:r>
      <w:r>
        <w:rPr>
          <w:rStyle w:val="904"/>
          <w:rFonts w:ascii="Liberation Serif" w:hAnsi="Liberation Serif" w:cs="Liberation Serif"/>
          <w:sz w:val="24"/>
          <w:szCs w:val="24"/>
        </w:rPr>
      </w:r>
      <w:r>
        <w:rPr>
          <w:rStyle w:val="904"/>
          <w:rFonts w:ascii="Liberation Serif" w:hAnsi="Liberation Serif" w:cs="Liberation Serif"/>
          <w:sz w:val="24"/>
          <w:szCs w:val="24"/>
        </w:rPr>
      </w:r>
    </w:p>
    <w:p>
      <w:pPr>
        <w:pStyle w:val="901"/>
        <w:contextualSpacing w:val="0"/>
        <w:ind w:left="0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numPr>
          <w:ilvl w:val="0"/>
          <w:numId w:val="24"/>
        </w:numPr>
        <w:ind w:left="0" w:firstLine="0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К УЧАСТНИКАМ ЗАКУПКИ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numPr>
          <w:ilvl w:val="1"/>
          <w:numId w:val="22"/>
        </w:numPr>
        <w:contextualSpacing w:val="0"/>
        <w:ind w:left="0" w:firstLine="0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о наличии аккредитации в Группе «Интер РАО»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contextualSpacing w:val="0"/>
        <w:ind w:left="0" w:firstLine="567"/>
        <w:jc w:val="both"/>
        <w:spacing w:after="0" w:line="240" w:lineRule="auto"/>
        <w:tabs>
          <w:tab w:val="left" w:pos="567" w:leader="none"/>
        </w:tabs>
        <w:rPr>
          <w:rStyle w:val="904"/>
          <w:rFonts w:ascii="Liberation Serif" w:hAnsi="Liberation Serif" w:cs="Liberation Serif"/>
          <w:sz w:val="24"/>
          <w:szCs w:val="24"/>
        </w:rPr>
      </w:pPr>
      <w:r>
        <w:rPr>
          <w:rStyle w:val="904"/>
          <w:rFonts w:ascii="Liberation Serif" w:hAnsi="Liberation Serif" w:eastAsia="Liberation Serif" w:cs="Liberation Serif"/>
          <w:sz w:val="24"/>
          <w:szCs w:val="24"/>
        </w:rPr>
      </w:r>
      <w:r>
        <w:rPr>
          <w:rStyle w:val="904"/>
          <w:rFonts w:ascii="Liberation Serif" w:hAnsi="Liberation Serif" w:eastAsia="Liberation Serif" w:cs="Liberation Serif"/>
          <w:sz w:val="24"/>
          <w:szCs w:val="24"/>
        </w:rPr>
        <w:t xml:space="preserve">Не требуется.</w:t>
      </w:r>
      <w:r>
        <w:rPr>
          <w:rStyle w:val="904"/>
          <w:rFonts w:ascii="Liberation Serif" w:hAnsi="Liberation Serif" w:cs="Liberation Serif"/>
          <w:sz w:val="24"/>
          <w:szCs w:val="24"/>
        </w:rPr>
      </w:r>
      <w:r>
        <w:rPr>
          <w:rStyle w:val="904"/>
          <w:rFonts w:ascii="Liberation Serif" w:hAnsi="Liberation Serif" w:cs="Liberation Serif"/>
          <w:sz w:val="24"/>
          <w:szCs w:val="24"/>
        </w:rPr>
      </w:r>
    </w:p>
    <w:p>
      <w:pPr>
        <w:pStyle w:val="901"/>
        <w:numPr>
          <w:ilvl w:val="1"/>
          <w:numId w:val="22"/>
        </w:numPr>
        <w:contextualSpacing w:val="0"/>
        <w:ind w:left="0" w:firstLine="0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о наличии сертифицированных систем менеджмента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67"/>
        <w:jc w:val="both"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 w:eastAsiaTheme="minorEastAsia"/>
        </w:rPr>
        <w:t xml:space="preserve">Не </w:t>
      </w:r>
      <w:r>
        <w:rPr>
          <w:rFonts w:ascii="Liberation Serif" w:hAnsi="Liberation Serif" w:eastAsia="Liberation Serif" w:cs="Liberation Serif" w:eastAsiaTheme="minorEastAsia"/>
        </w:rPr>
        <w:t xml:space="preserve">требуется</w:t>
      </w:r>
      <w:r>
        <w:rPr>
          <w:rFonts w:ascii="Liberation Serif" w:hAnsi="Liberation Serif" w:eastAsia="Liberation Serif" w:cs="Liberation Serif" w:eastAsiaTheme="minorEastAsia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numPr>
          <w:ilvl w:val="1"/>
          <w:numId w:val="22"/>
        </w:numPr>
        <w:contextualSpacing w:val="0"/>
        <w:ind w:left="0" w:firstLine="0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к опыту поставки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67"/>
        <w:jc w:val="both"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 w:eastAsiaTheme="minorEastAsia"/>
        </w:rPr>
        <w:t xml:space="preserve">Не требуется.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numPr>
          <w:ilvl w:val="1"/>
          <w:numId w:val="22"/>
        </w:numPr>
        <w:contextualSpacing w:val="0"/>
        <w:ind w:left="0" w:firstLine="0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Требования о предоставлении информации о производителе и о подтверждении отношений с ним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67"/>
        <w:jc w:val="both"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 w:eastAsiaTheme="minorEastAsia"/>
        </w:rPr>
      </w:r>
      <w:r>
        <w:rPr>
          <w:rFonts w:ascii="Liberation Serif" w:hAnsi="Liberation Serif" w:eastAsia="Liberation Serif" w:cs="Liberation Serif" w:eastAsiaTheme="minorEastAsia"/>
        </w:rPr>
        <w:t xml:space="preserve">Участник закупки в своем предложении должен указать наименование производителя предлагаемой к поставке продукции и страну происхождения товара.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 w:val="0"/>
        <w:ind w:left="0" w:firstLine="567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numPr>
          <w:ilvl w:val="0"/>
          <w:numId w:val="24"/>
        </w:numPr>
        <w:ind w:left="0" w:firstLine="0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ПРИЛОЖЕНИЯ К ТЗ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contextualSpacing w:val="0"/>
        <w:ind w:left="0" w:firstLine="567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1.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Спецификация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(прилагается в формате *.</w:t>
      </w:r>
      <w:r>
        <w:rPr>
          <w:rFonts w:ascii="Liberation Serif" w:hAnsi="Liberation Serif" w:eastAsia="Liberation Serif" w:cs="Liberation Serif"/>
          <w:sz w:val="24"/>
          <w:szCs w:val="24"/>
          <w:lang w:val="en-US"/>
        </w:rPr>
        <w:t xml:space="preserve">xlsx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01"/>
        <w:contextualSpacing w:val="0"/>
        <w:ind w:left="0" w:firstLine="567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</w:rPr>
        <w:t xml:space="preserve">2.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</w:rPr>
        <w:t xml:space="preserve">Характеристики товара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contextualSpacing w:val="0"/>
        <w:ind w:left="0" w:firstLine="567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160" w:line="259" w:lineRule="auto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eastAsia="Liberation Serif" w:cs="Liberation Serif"/>
        </w:rPr>
      </w:r>
      <w:bookmarkStart w:id="0" w:name="_GoBack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  <w:sz w:val="26"/>
          <w:szCs w:val="26"/>
        </w:rPr>
        <w:br w:type="page" w:clear="all"/>
      </w:r>
      <w:r>
        <w:rPr>
          <w:rFonts w:ascii="Liberation Serif" w:hAnsi="Liberation Serif" w:cs="Liberation Serif"/>
          <w:vertAlign w:val="superscript"/>
        </w:rPr>
      </w:r>
      <w:r>
        <w:rPr>
          <w:rFonts w:ascii="Liberation Serif" w:hAnsi="Liberation Serif" w:cs="Liberation Serif"/>
          <w:vertAlign w:val="superscript"/>
        </w:rPr>
      </w:r>
    </w:p>
    <w:p>
      <w:pPr>
        <w:ind w:left="-567" w:firstLine="567"/>
        <w:jc w:val="right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Приложение №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2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567" w:firstLine="567"/>
        <w:jc w:val="right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567" w:firstLine="567"/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арактеристики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товара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567" w:firstLine="567"/>
        <w:jc w:val="right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0207" w:type="dxa"/>
        <w:tblLayout w:type="fixed"/>
        <w:tblLook w:val="0000" w:firstRow="0" w:lastRow="0" w:firstColumn="0" w:lastColumn="0" w:noHBand="0" w:noVBand="0"/>
      </w:tblPr>
      <w:tblGrid>
        <w:gridCol w:w="572"/>
        <w:gridCol w:w="3109"/>
        <w:gridCol w:w="567"/>
        <w:gridCol w:w="992"/>
        <w:gridCol w:w="1843"/>
        <w:gridCol w:w="1843"/>
      </w:tblGrid>
      <w:tr>
        <w:tblPrEx/>
        <w:trPr>
          <w:trHeight w:val="3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ru-RU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ru-RU"/>
              </w:rPr>
              <w:t xml:space="preserve">Ед. изм.</w:t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ru-RU"/>
              </w:rPr>
              <w:t xml:space="preserve">Кол-во</w:t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ru-RU"/>
              </w:rPr>
              <w:t xml:space="preserve">Артикул</w:t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ru-RU"/>
              </w:rPr>
              <w:t xml:space="preserve">Серийные номер оборудования/номер контракта на обслуживание</w:t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Сервисное обслуживание уровня Ultra на 3 года</w:t>
              <w:br/>
              <w:t xml:space="preserve">оборудования: ИБП Galaxy 3500 20kVA 400V</w:t>
              <w:br/>
              <w:t xml:space="preserve">Серийный номер PS1328330940 и ИБП Galaxy</w:t>
              <w:br/>
              <w:t xml:space="preserve">3500 20kVA 400V Серийный номер</w:t>
              <w:br/>
              <w:t xml:space="preserve">QS1717150869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шт.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Advantage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Ultra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PS1328330940, QS1717150869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spacing w:after="160" w:line="259" w:lineRule="auto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eastAsia="Liberation Serif" w:cs="Liberation Serif"/>
          <w:vertAlign w:val="superscript"/>
        </w:rPr>
      </w:r>
      <w:r>
        <w:rPr>
          <w:rFonts w:ascii="Liberation Serif" w:hAnsi="Liberation Serif" w:cs="Liberation Serif"/>
          <w:vertAlign w:val="superscript"/>
        </w:rPr>
      </w:r>
      <w:r>
        <w:rPr>
          <w:rFonts w:ascii="Liberation Serif" w:hAnsi="Liberation Serif" w:cs="Liberation Serif"/>
          <w:vertAlign w:val="superscript"/>
        </w:rPr>
      </w:r>
    </w:p>
    <w:p>
      <w:pPr>
        <w:spacing w:after="160" w:line="259" w:lineRule="auto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eastAsia="Liberation Serif" w:cs="Liberation Serif"/>
          <w:vertAlign w:val="superscript"/>
        </w:rPr>
      </w:r>
      <w:r>
        <w:rPr>
          <w:rFonts w:ascii="Liberation Serif" w:hAnsi="Liberation Serif" w:cs="Liberation Serif"/>
          <w:vertAlign w:val="superscript"/>
        </w:rPr>
      </w:r>
      <w:r>
        <w:rPr>
          <w:rFonts w:ascii="Liberation Serif" w:hAnsi="Liberation Serif" w:cs="Liberation Serif"/>
          <w:vertAlign w:val="superscript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709" w:bottom="102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062091600"/>
      <w:docPartObj>
        <w:docPartGallery w:val="Page Numbers (Top of Page)"/>
        <w:docPartUnique w:val="true"/>
      </w:docPartObj>
      <w:rPr/>
    </w:sdtPr>
    <w:sdtContent>
      <w:p>
        <w:pPr>
          <w:pStyle w:val="91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/>
      <w:suff w:val="tab"/>
      <w:lvlText w:val="%1.%2."/>
      <w:lvlJc w:val="left"/>
      <w:pPr>
        <w:ind w:left="1854" w:hanging="720"/>
        <w:tabs>
          <w:tab w:val="num" w:pos="1854" w:leader="none"/>
        </w:tabs>
      </w:pPr>
      <w:rPr>
        <w:rFonts w:ascii="Times New Roman" w:hAnsi="Times New Roman" w:eastAsia="Times New Roman" w:cs="Times New Roman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4">
      <w:start w:val="1"/>
      <w:numFmt w:val="decimal"/>
      <w:isLgl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  <w:rPr>
        <w:rFonts w:hint="default" w:cs="Times New Roman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 w:cs="Times New Roman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5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1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2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3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17"/>
  </w:num>
  <w:num w:numId="3">
    <w:abstractNumId w:val="23"/>
  </w:num>
  <w:num w:numId="4">
    <w:abstractNumId w:val="11"/>
  </w:num>
  <w:num w:numId="5">
    <w:abstractNumId w:val="6"/>
  </w:num>
  <w:num w:numId="6">
    <w:abstractNumId w:val="19"/>
  </w:num>
  <w:num w:numId="7">
    <w:abstractNumId w:val="5"/>
  </w:num>
  <w:num w:numId="8">
    <w:abstractNumId w:val="12"/>
  </w:num>
  <w:num w:numId="9">
    <w:abstractNumId w:val="18"/>
  </w:num>
  <w:num w:numId="10">
    <w:abstractNumId w:val="3"/>
  </w:num>
  <w:num w:numId="11">
    <w:abstractNumId w:val="22"/>
  </w:num>
  <w:num w:numId="12">
    <w:abstractNumId w:val="9"/>
  </w:num>
  <w:num w:numId="13">
    <w:abstractNumId w:val="16"/>
  </w:num>
  <w:num w:numId="14">
    <w:abstractNumId w:val="13"/>
  </w:num>
  <w:num w:numId="15">
    <w:abstractNumId w:val="1"/>
  </w:num>
  <w:num w:numId="16">
    <w:abstractNumId w:val="0"/>
  </w:num>
  <w:num w:numId="17">
    <w:abstractNumId w:val="7"/>
  </w:num>
  <w:num w:numId="18">
    <w:abstractNumId w:val="21"/>
  </w:num>
  <w:num w:numId="19">
    <w:abstractNumId w:val="4"/>
  </w:num>
  <w:num w:numId="20">
    <w:abstractNumId w:val="2"/>
  </w:num>
  <w:num w:numId="21">
    <w:abstractNumId w:val="10"/>
  </w:num>
  <w:num w:numId="22">
    <w:abstractNumId w:val="14"/>
  </w:num>
  <w:num w:numId="23">
    <w:abstractNumId w:val="20"/>
  </w:num>
  <w:num w:numId="24">
    <w:abstractNumId w:val="15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4">
    <w:name w:val="Heading 1 Char"/>
    <w:basedOn w:val="897"/>
    <w:link w:val="896"/>
    <w:uiPriority w:val="9"/>
    <w:rPr>
      <w:rFonts w:ascii="Arial" w:hAnsi="Arial" w:eastAsia="Arial" w:cs="Arial"/>
      <w:sz w:val="40"/>
      <w:szCs w:val="40"/>
    </w:rPr>
  </w:style>
  <w:style w:type="paragraph" w:styleId="725">
    <w:name w:val="Heading 2"/>
    <w:basedOn w:val="895"/>
    <w:next w:val="895"/>
    <w:link w:val="72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6">
    <w:name w:val="Heading 2 Char"/>
    <w:basedOn w:val="897"/>
    <w:link w:val="725"/>
    <w:uiPriority w:val="9"/>
    <w:rPr>
      <w:rFonts w:ascii="Arial" w:hAnsi="Arial" w:eastAsia="Arial" w:cs="Arial"/>
      <w:sz w:val="34"/>
    </w:rPr>
  </w:style>
  <w:style w:type="paragraph" w:styleId="727">
    <w:name w:val="Heading 3"/>
    <w:basedOn w:val="895"/>
    <w:next w:val="895"/>
    <w:link w:val="72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8">
    <w:name w:val="Heading 3 Char"/>
    <w:basedOn w:val="897"/>
    <w:link w:val="727"/>
    <w:uiPriority w:val="9"/>
    <w:rPr>
      <w:rFonts w:ascii="Arial" w:hAnsi="Arial" w:eastAsia="Arial" w:cs="Arial"/>
      <w:sz w:val="30"/>
      <w:szCs w:val="30"/>
    </w:rPr>
  </w:style>
  <w:style w:type="paragraph" w:styleId="729">
    <w:name w:val="Heading 4"/>
    <w:basedOn w:val="895"/>
    <w:next w:val="895"/>
    <w:link w:val="73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0">
    <w:name w:val="Heading 4 Char"/>
    <w:basedOn w:val="897"/>
    <w:link w:val="729"/>
    <w:uiPriority w:val="9"/>
    <w:rPr>
      <w:rFonts w:ascii="Arial" w:hAnsi="Arial" w:eastAsia="Arial" w:cs="Arial"/>
      <w:b/>
      <w:bCs/>
      <w:sz w:val="26"/>
      <w:szCs w:val="26"/>
    </w:rPr>
  </w:style>
  <w:style w:type="paragraph" w:styleId="731">
    <w:name w:val="Heading 5"/>
    <w:basedOn w:val="895"/>
    <w:next w:val="895"/>
    <w:link w:val="73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2">
    <w:name w:val="Heading 5 Char"/>
    <w:basedOn w:val="897"/>
    <w:link w:val="731"/>
    <w:uiPriority w:val="9"/>
    <w:rPr>
      <w:rFonts w:ascii="Arial" w:hAnsi="Arial" w:eastAsia="Arial" w:cs="Arial"/>
      <w:b/>
      <w:bCs/>
      <w:sz w:val="24"/>
      <w:szCs w:val="24"/>
    </w:rPr>
  </w:style>
  <w:style w:type="paragraph" w:styleId="733">
    <w:name w:val="Heading 6"/>
    <w:basedOn w:val="895"/>
    <w:next w:val="895"/>
    <w:link w:val="73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4">
    <w:name w:val="Heading 6 Char"/>
    <w:basedOn w:val="897"/>
    <w:link w:val="733"/>
    <w:uiPriority w:val="9"/>
    <w:rPr>
      <w:rFonts w:ascii="Arial" w:hAnsi="Arial" w:eastAsia="Arial" w:cs="Arial"/>
      <w:b/>
      <w:bCs/>
      <w:sz w:val="22"/>
      <w:szCs w:val="22"/>
    </w:rPr>
  </w:style>
  <w:style w:type="paragraph" w:styleId="735">
    <w:name w:val="Heading 7"/>
    <w:basedOn w:val="895"/>
    <w:next w:val="895"/>
    <w:link w:val="73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6">
    <w:name w:val="Heading 7 Char"/>
    <w:basedOn w:val="897"/>
    <w:link w:val="73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7">
    <w:name w:val="Heading 8"/>
    <w:basedOn w:val="895"/>
    <w:next w:val="895"/>
    <w:link w:val="7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8">
    <w:name w:val="Heading 8 Char"/>
    <w:basedOn w:val="897"/>
    <w:link w:val="737"/>
    <w:uiPriority w:val="9"/>
    <w:rPr>
      <w:rFonts w:ascii="Arial" w:hAnsi="Arial" w:eastAsia="Arial" w:cs="Arial"/>
      <w:i/>
      <w:iCs/>
      <w:sz w:val="22"/>
      <w:szCs w:val="22"/>
    </w:rPr>
  </w:style>
  <w:style w:type="paragraph" w:styleId="739">
    <w:name w:val="Heading 9"/>
    <w:basedOn w:val="895"/>
    <w:next w:val="895"/>
    <w:link w:val="74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0">
    <w:name w:val="Heading 9 Char"/>
    <w:basedOn w:val="897"/>
    <w:link w:val="739"/>
    <w:uiPriority w:val="9"/>
    <w:rPr>
      <w:rFonts w:ascii="Arial" w:hAnsi="Arial" w:eastAsia="Arial" w:cs="Arial"/>
      <w:i/>
      <w:iCs/>
      <w:sz w:val="21"/>
      <w:szCs w:val="21"/>
    </w:rPr>
  </w:style>
  <w:style w:type="paragraph" w:styleId="741">
    <w:name w:val="Title"/>
    <w:basedOn w:val="895"/>
    <w:next w:val="895"/>
    <w:link w:val="74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2">
    <w:name w:val="Title Char"/>
    <w:basedOn w:val="897"/>
    <w:link w:val="741"/>
    <w:uiPriority w:val="10"/>
    <w:rPr>
      <w:sz w:val="48"/>
      <w:szCs w:val="48"/>
    </w:rPr>
  </w:style>
  <w:style w:type="paragraph" w:styleId="743">
    <w:name w:val="Subtitle"/>
    <w:basedOn w:val="895"/>
    <w:next w:val="895"/>
    <w:link w:val="744"/>
    <w:uiPriority w:val="11"/>
    <w:qFormat/>
    <w:pPr>
      <w:spacing w:before="200" w:after="200"/>
    </w:pPr>
    <w:rPr>
      <w:sz w:val="24"/>
      <w:szCs w:val="24"/>
    </w:rPr>
  </w:style>
  <w:style w:type="character" w:styleId="744">
    <w:name w:val="Subtitle Char"/>
    <w:basedOn w:val="897"/>
    <w:link w:val="743"/>
    <w:uiPriority w:val="11"/>
    <w:rPr>
      <w:sz w:val="24"/>
      <w:szCs w:val="24"/>
    </w:rPr>
  </w:style>
  <w:style w:type="paragraph" w:styleId="745">
    <w:name w:val="Quote"/>
    <w:basedOn w:val="895"/>
    <w:next w:val="895"/>
    <w:link w:val="746"/>
    <w:uiPriority w:val="29"/>
    <w:qFormat/>
    <w:pPr>
      <w:ind w:left="720" w:right="720"/>
    </w:pPr>
    <w:rPr>
      <w:i/>
    </w:rPr>
  </w:style>
  <w:style w:type="character" w:styleId="746">
    <w:name w:val="Quote Char"/>
    <w:link w:val="745"/>
    <w:uiPriority w:val="29"/>
    <w:rPr>
      <w:i/>
    </w:rPr>
  </w:style>
  <w:style w:type="paragraph" w:styleId="747">
    <w:name w:val="Intense Quote"/>
    <w:basedOn w:val="895"/>
    <w:next w:val="895"/>
    <w:link w:val="74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8">
    <w:name w:val="Intense Quote Char"/>
    <w:link w:val="747"/>
    <w:uiPriority w:val="30"/>
    <w:rPr>
      <w:i/>
    </w:rPr>
  </w:style>
  <w:style w:type="character" w:styleId="749">
    <w:name w:val="Header Char"/>
    <w:basedOn w:val="897"/>
    <w:link w:val="914"/>
    <w:uiPriority w:val="99"/>
  </w:style>
  <w:style w:type="character" w:styleId="750">
    <w:name w:val="Footer Char"/>
    <w:basedOn w:val="897"/>
    <w:link w:val="916"/>
    <w:uiPriority w:val="99"/>
  </w:style>
  <w:style w:type="paragraph" w:styleId="751">
    <w:name w:val="Caption"/>
    <w:basedOn w:val="895"/>
    <w:next w:val="895"/>
    <w:link w:val="7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2">
    <w:name w:val="Caption Char"/>
    <w:basedOn w:val="751"/>
    <w:link w:val="916"/>
    <w:uiPriority w:val="99"/>
  </w:style>
  <w:style w:type="table" w:styleId="753">
    <w:name w:val="Table Grid Light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Plain Table 1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9">
    <w:name w:val="Grid Table 1 Light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4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1">
    <w:name w:val="Grid Table 4 - Accent 1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2">
    <w:name w:val="Grid Table 4 - Accent 2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Grid Table 4 - Accent 3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4">
    <w:name w:val="Grid Table 4 - Accent 4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Grid Table 4 - Accent 5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6">
    <w:name w:val="Grid Table 4 - Accent 6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7">
    <w:name w:val="Grid Table 5 Dark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1">
    <w:name w:val="Grid Table 5 Dark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4">
    <w:name w:val="Grid Table 6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5">
    <w:name w:val="Grid Table 6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6">
    <w:name w:val="Grid Table 6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7">
    <w:name w:val="Grid Table 6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8">
    <w:name w:val="Grid Table 6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9">
    <w:name w:val="Grid Table 6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6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7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6">
    <w:name w:val="List Table 2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7">
    <w:name w:val="List Table 2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8">
    <w:name w:val="List Table 2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9">
    <w:name w:val="List Table 2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0">
    <w:name w:val="List Table 2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1">
    <w:name w:val="List Table 2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2">
    <w:name w:val="List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5 Dark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6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4">
    <w:name w:val="List Table 6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5">
    <w:name w:val="List Table 6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6">
    <w:name w:val="List Table 6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7">
    <w:name w:val="List Table 6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8">
    <w:name w:val="List Table 6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9">
    <w:name w:val="List Table 6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0">
    <w:name w:val="List Table 7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1">
    <w:name w:val="List Table 7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52">
    <w:name w:val="List Table 7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3">
    <w:name w:val="List Table 7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4">
    <w:name w:val="List Table 7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5">
    <w:name w:val="List Table 7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56">
    <w:name w:val="List Table 7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7">
    <w:name w:val="Lined - Accent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Lined - Accent 1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9">
    <w:name w:val="Lined - Accent 2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0">
    <w:name w:val="Lined - Accent 3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1">
    <w:name w:val="Lined - Accent 4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2">
    <w:name w:val="Lined - Accent 5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3">
    <w:name w:val="Lined - Accent 6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4">
    <w:name w:val="Bordered &amp; Lined - Accent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5">
    <w:name w:val="Bordered &amp; Lined - Accent 1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6">
    <w:name w:val="Bordered &amp; Lined - Accent 2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7">
    <w:name w:val="Bordered &amp; Lined - Accent 3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8">
    <w:name w:val="Bordered &amp; Lined - Accent 4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9">
    <w:name w:val="Bordered &amp; Lined - Accent 5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70">
    <w:name w:val="Bordered &amp; Lined - Accent 6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1">
    <w:name w:val="Bordered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2">
    <w:name w:val="Bordered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3">
    <w:name w:val="Bordered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4">
    <w:name w:val="Bordered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5">
    <w:name w:val="Bordered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6">
    <w:name w:val="Bordered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7">
    <w:name w:val="Bordered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8">
    <w:name w:val="footnote text"/>
    <w:basedOn w:val="895"/>
    <w:link w:val="879"/>
    <w:uiPriority w:val="99"/>
    <w:semiHidden/>
    <w:unhideWhenUsed/>
    <w:pPr>
      <w:spacing w:after="40" w:line="240" w:lineRule="auto"/>
    </w:pPr>
    <w:rPr>
      <w:sz w:val="18"/>
    </w:rPr>
  </w:style>
  <w:style w:type="character" w:styleId="879">
    <w:name w:val="Footnote Text Char"/>
    <w:link w:val="878"/>
    <w:uiPriority w:val="99"/>
    <w:rPr>
      <w:sz w:val="18"/>
    </w:rPr>
  </w:style>
  <w:style w:type="character" w:styleId="880">
    <w:name w:val="footnote reference"/>
    <w:basedOn w:val="897"/>
    <w:uiPriority w:val="99"/>
    <w:unhideWhenUsed/>
    <w:rPr>
      <w:vertAlign w:val="superscript"/>
    </w:rPr>
  </w:style>
  <w:style w:type="paragraph" w:styleId="881">
    <w:name w:val="endnote text"/>
    <w:basedOn w:val="895"/>
    <w:link w:val="882"/>
    <w:uiPriority w:val="99"/>
    <w:semiHidden/>
    <w:unhideWhenUsed/>
    <w:pPr>
      <w:spacing w:after="0" w:line="240" w:lineRule="auto"/>
    </w:pPr>
    <w:rPr>
      <w:sz w:val="20"/>
    </w:rPr>
  </w:style>
  <w:style w:type="character" w:styleId="882">
    <w:name w:val="Endnote Text Char"/>
    <w:link w:val="881"/>
    <w:uiPriority w:val="99"/>
    <w:rPr>
      <w:sz w:val="20"/>
    </w:rPr>
  </w:style>
  <w:style w:type="character" w:styleId="883">
    <w:name w:val="endnote reference"/>
    <w:basedOn w:val="897"/>
    <w:uiPriority w:val="99"/>
    <w:semiHidden/>
    <w:unhideWhenUsed/>
    <w:rPr>
      <w:vertAlign w:val="superscript"/>
    </w:rPr>
  </w:style>
  <w:style w:type="paragraph" w:styleId="884">
    <w:name w:val="toc 1"/>
    <w:basedOn w:val="895"/>
    <w:next w:val="895"/>
    <w:uiPriority w:val="39"/>
    <w:unhideWhenUsed/>
    <w:pPr>
      <w:ind w:left="0" w:right="0" w:firstLine="0"/>
      <w:spacing w:after="57"/>
    </w:pPr>
  </w:style>
  <w:style w:type="paragraph" w:styleId="885">
    <w:name w:val="toc 2"/>
    <w:basedOn w:val="895"/>
    <w:next w:val="895"/>
    <w:uiPriority w:val="39"/>
    <w:unhideWhenUsed/>
    <w:pPr>
      <w:ind w:left="283" w:right="0" w:firstLine="0"/>
      <w:spacing w:after="57"/>
    </w:pPr>
  </w:style>
  <w:style w:type="paragraph" w:styleId="886">
    <w:name w:val="toc 3"/>
    <w:basedOn w:val="895"/>
    <w:next w:val="895"/>
    <w:uiPriority w:val="39"/>
    <w:unhideWhenUsed/>
    <w:pPr>
      <w:ind w:left="567" w:right="0" w:firstLine="0"/>
      <w:spacing w:after="57"/>
    </w:pPr>
  </w:style>
  <w:style w:type="paragraph" w:styleId="887">
    <w:name w:val="toc 4"/>
    <w:basedOn w:val="895"/>
    <w:next w:val="895"/>
    <w:uiPriority w:val="39"/>
    <w:unhideWhenUsed/>
    <w:pPr>
      <w:ind w:left="850" w:right="0" w:firstLine="0"/>
      <w:spacing w:after="57"/>
    </w:pPr>
  </w:style>
  <w:style w:type="paragraph" w:styleId="888">
    <w:name w:val="toc 5"/>
    <w:basedOn w:val="895"/>
    <w:next w:val="895"/>
    <w:uiPriority w:val="39"/>
    <w:unhideWhenUsed/>
    <w:pPr>
      <w:ind w:left="1134" w:right="0" w:firstLine="0"/>
      <w:spacing w:after="57"/>
    </w:pPr>
  </w:style>
  <w:style w:type="paragraph" w:styleId="889">
    <w:name w:val="toc 6"/>
    <w:basedOn w:val="895"/>
    <w:next w:val="895"/>
    <w:uiPriority w:val="39"/>
    <w:unhideWhenUsed/>
    <w:pPr>
      <w:ind w:left="1417" w:right="0" w:firstLine="0"/>
      <w:spacing w:after="57"/>
    </w:pPr>
  </w:style>
  <w:style w:type="paragraph" w:styleId="890">
    <w:name w:val="toc 7"/>
    <w:basedOn w:val="895"/>
    <w:next w:val="895"/>
    <w:uiPriority w:val="39"/>
    <w:unhideWhenUsed/>
    <w:pPr>
      <w:ind w:left="1701" w:right="0" w:firstLine="0"/>
      <w:spacing w:after="57"/>
    </w:pPr>
  </w:style>
  <w:style w:type="paragraph" w:styleId="891">
    <w:name w:val="toc 8"/>
    <w:basedOn w:val="895"/>
    <w:next w:val="895"/>
    <w:uiPriority w:val="39"/>
    <w:unhideWhenUsed/>
    <w:pPr>
      <w:ind w:left="1984" w:right="0" w:firstLine="0"/>
      <w:spacing w:after="57"/>
    </w:pPr>
  </w:style>
  <w:style w:type="paragraph" w:styleId="892">
    <w:name w:val="toc 9"/>
    <w:basedOn w:val="895"/>
    <w:next w:val="895"/>
    <w:uiPriority w:val="39"/>
    <w:unhideWhenUsed/>
    <w:pPr>
      <w:ind w:left="2268" w:right="0" w:firstLine="0"/>
      <w:spacing w:after="57"/>
    </w:pPr>
  </w:style>
  <w:style w:type="paragraph" w:styleId="893">
    <w:name w:val="TOC Heading"/>
    <w:uiPriority w:val="39"/>
    <w:unhideWhenUsed/>
  </w:style>
  <w:style w:type="paragraph" w:styleId="894">
    <w:name w:val="table of figures"/>
    <w:basedOn w:val="895"/>
    <w:next w:val="895"/>
    <w:uiPriority w:val="99"/>
    <w:unhideWhenUsed/>
    <w:pPr>
      <w:spacing w:after="0" w:afterAutospacing="0"/>
    </w:pPr>
  </w:style>
  <w:style w:type="paragraph" w:styleId="895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6">
    <w:name w:val="Heading 1"/>
    <w:basedOn w:val="895"/>
    <w:next w:val="895"/>
    <w:link w:val="900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97" w:default="1">
    <w:name w:val="Default Paragraph Font"/>
    <w:uiPriority w:val="1"/>
    <w:semiHidden/>
    <w:unhideWhenUsed/>
  </w:style>
  <w:style w:type="table" w:styleId="8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9" w:default="1">
    <w:name w:val="No List"/>
    <w:uiPriority w:val="99"/>
    <w:semiHidden/>
    <w:unhideWhenUsed/>
  </w:style>
  <w:style w:type="character" w:styleId="900" w:customStyle="1">
    <w:name w:val="Заголовок 1 Знак"/>
    <w:basedOn w:val="897"/>
    <w:link w:val="896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901">
    <w:name w:val="List Paragraph"/>
    <w:basedOn w:val="895"/>
    <w:link w:val="902"/>
    <w:uiPriority w:val="34"/>
    <w:qFormat/>
    <w:pPr>
      <w:contextualSpacing/>
      <w:ind w:left="72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902" w:customStyle="1">
    <w:name w:val="Абзац списка Знак"/>
    <w:link w:val="901"/>
    <w:uiPriority w:val="34"/>
    <w:qFormat/>
  </w:style>
  <w:style w:type="character" w:styleId="903">
    <w:name w:val="Hyperlink"/>
    <w:basedOn w:val="897"/>
    <w:uiPriority w:val="99"/>
    <w:unhideWhenUsed/>
    <w:rPr>
      <w:color w:val="0000ff"/>
      <w:u w:val="single"/>
    </w:rPr>
  </w:style>
  <w:style w:type="character" w:styleId="904" w:customStyle="1">
    <w:name w:val="Font Style12"/>
    <w:rPr>
      <w:rFonts w:hint="default" w:ascii="Times New Roman" w:hAnsi="Times New Roman" w:cs="Times New Roman"/>
      <w:sz w:val="22"/>
      <w:szCs w:val="22"/>
    </w:rPr>
  </w:style>
  <w:style w:type="paragraph" w:styleId="905" w:customStyle="1">
    <w:name w:val="Default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character" w:styleId="906">
    <w:name w:val="annotation reference"/>
    <w:basedOn w:val="897"/>
    <w:uiPriority w:val="99"/>
    <w:semiHidden/>
    <w:unhideWhenUsed/>
    <w:rPr>
      <w:sz w:val="16"/>
      <w:szCs w:val="16"/>
    </w:rPr>
  </w:style>
  <w:style w:type="paragraph" w:styleId="907">
    <w:name w:val="annotation text"/>
    <w:basedOn w:val="895"/>
    <w:link w:val="908"/>
    <w:uiPriority w:val="99"/>
    <w:semiHidden/>
    <w:unhideWhenUsed/>
    <w:rPr>
      <w:sz w:val="20"/>
      <w:szCs w:val="20"/>
    </w:rPr>
  </w:style>
  <w:style w:type="character" w:styleId="908" w:customStyle="1">
    <w:name w:val="Текст примечания Знак"/>
    <w:basedOn w:val="897"/>
    <w:link w:val="907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09">
    <w:name w:val="annotation subject"/>
    <w:basedOn w:val="907"/>
    <w:next w:val="907"/>
    <w:link w:val="910"/>
    <w:uiPriority w:val="99"/>
    <w:semiHidden/>
    <w:unhideWhenUsed/>
    <w:rPr>
      <w:b/>
      <w:bCs/>
    </w:rPr>
  </w:style>
  <w:style w:type="character" w:styleId="910" w:customStyle="1">
    <w:name w:val="Тема примечания Знак"/>
    <w:basedOn w:val="908"/>
    <w:link w:val="909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11">
    <w:name w:val="Balloon Text"/>
    <w:basedOn w:val="895"/>
    <w:link w:val="912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12" w:customStyle="1">
    <w:name w:val="Текст выноски Знак"/>
    <w:basedOn w:val="897"/>
    <w:link w:val="911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913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14">
    <w:name w:val="Header"/>
    <w:basedOn w:val="895"/>
    <w:link w:val="91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5" w:customStyle="1">
    <w:name w:val="Верхний колонтитул Знак"/>
    <w:basedOn w:val="897"/>
    <w:link w:val="914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16">
    <w:name w:val="Footer"/>
    <w:basedOn w:val="895"/>
    <w:link w:val="91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7" w:customStyle="1">
    <w:name w:val="Нижний колонтитул Знак"/>
    <w:basedOn w:val="897"/>
    <w:link w:val="916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918">
    <w:name w:val="Table Grid"/>
    <w:basedOn w:val="89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9">
    <w:name w:val="No Spacing"/>
    <w:uiPriority w:val="1"/>
    <w:qFormat/>
    <w:pPr>
      <w:spacing w:after="0" w:line="240" w:lineRule="auto"/>
    </w:pPr>
  </w:style>
  <w:style w:type="paragraph" w:styleId="920">
    <w:name w:val="Body Text Indent"/>
    <w:basedOn w:val="895"/>
    <w:link w:val="921"/>
    <w:uiPriority w:val="99"/>
    <w:pPr>
      <w:ind w:left="283"/>
      <w:spacing w:after="120"/>
    </w:pPr>
    <w:rPr>
      <w:sz w:val="28"/>
      <w:szCs w:val="28"/>
    </w:rPr>
  </w:style>
  <w:style w:type="character" w:styleId="921" w:customStyle="1">
    <w:name w:val="Основной текст с отступом Знак"/>
    <w:basedOn w:val="897"/>
    <w:link w:val="920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smirnyagina_as</cp:lastModifiedBy>
  <cp:revision>14</cp:revision>
  <dcterms:created xsi:type="dcterms:W3CDTF">2023-07-17T03:34:00Z</dcterms:created>
  <dcterms:modified xsi:type="dcterms:W3CDTF">2025-12-18T07:07:00Z</dcterms:modified>
</cp:coreProperties>
</file>